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/>
        <w:jc w:val="center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sz w:val="28"/>
          <w:szCs w:val="28"/>
        </w:rPr>
        <w:t>6 МЕТОДЫ СТАНДАРТИЗАЦИИ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/>
        <w:jc w:val="center"/>
        <w:rPr>
          <w:rFonts w:ascii="Times New Roman" w:hAnsi="Times New Roman" w:cs="Times New Roman"/>
          <w:sz w:val="28"/>
          <w:szCs w:val="28"/>
        </w:rPr>
      </w:pP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sz w:val="28"/>
          <w:szCs w:val="28"/>
        </w:rPr>
      </w:pP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Стандартизация как вид деятельности базируется на совокупности общенаучных и специфических методов, необходимых для установления оптимального решения повторяющихся задач. Наиболее применяемыми в работах по стандартизации методами являются: 1) упорядочение объектов стандартизации; 2) параметрическая стандартизация; 3) унификация; 4)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агрегатирование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>; 5) комплексная стандартизация; 6) опережающая стандартизация.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Упорядочение объектов стандартизации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заключается в управлении многообразием объектов стандартизации.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Результатом работ по упорядочению являются, например, классификаторы, типовые конструкции, комплектующие изделия, процессы, правила, формы документов.</w:t>
      </w:r>
      <w:proofErr w:type="gramEnd"/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Упорядочение осуществляется путем систематизации, типизации, селекции,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симплификации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и оптимизации объектов стандартизации.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Систематизация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заключается в установлении определенной последовательности однородных, взаимосвязанных объектов стандартизации.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С учетом многообразия объектов систематизация имеет </w:t>
      </w: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важное значение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>, так как позволяет объединить их во взаимосвязанные и взаимоподчиненные группировки, провести их классифицирование и ранжирование. Примером результата работы по систематизации могут служить классификаторы технико-экономической и социальной информации, применяемые в Республике Казахстан.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Типизация </w:t>
      </w: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-д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>еятельность, заключающаяся в разработке типовых конструктивных или технологических решений на основе общих для ряда объектов стандартизации характеристик. Типизация приводит к созданию типовых конструкций, изделий, правил, процессов, форм документации, расчетов, порядка проведения работ и др.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 xml:space="preserve">Селекция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заключается в отборе конкретных объектов стандартизации, признанных целесообразными для дальнейшего производства или применения в различных областях деятельности.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Симплификация</w:t>
      </w:r>
      <w:proofErr w:type="spellEnd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в противоположность селекции, заключается в отборе конкретных объектов стандартизации, признанных нецелесообразными для дальнейшего производства или применения в различных областях деятельности.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18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Иными словами, под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симплификацией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понимают простое сокращение наименее употребляемых элементов до целесообразного минимума (например, сокращение типоразмеров тары, посуды, крепежных элементов).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Оптимизация -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выбор наилучшего (оптимального) объекта стандартизации из </w:t>
      </w: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возможных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>. Заключается в нахождении оптимальных значений параметров (назначения, безопасности, качества, потребительских свойств и др.) стандартизируемых объектов.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18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Оптимизацию объектов стандартизации осуществляют путем применения экономико-математических методов и моделей оптимизации.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Параметрическая стандартизация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- метод стандартизации, заключающийся в выборе и обосновании целесообразной номенклатуры и численного значения параметров.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18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Параметр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(от греч. </w:t>
      </w:r>
      <w:proofErr w:type="spellStart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parametron</w:t>
      </w:r>
      <w:proofErr w:type="spellEnd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- отмеривающий) - величина, характеризующая какое-либо свойство процесса, явления или системы, машины, прибора.</w:t>
      </w:r>
      <w:proofErr w:type="gramEnd"/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Наиболее важными параметрами продукции являются характеристики, определяющие ее назначение и условия использования:</w:t>
      </w:r>
    </w:p>
    <w:p w:rsidR="006733C9" w:rsidRPr="006733C9" w:rsidRDefault="006733C9" w:rsidP="006733C9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размерные параметры (размер одежды и обуви, вместимость посуды);</w:t>
      </w:r>
    </w:p>
    <w:p w:rsidR="006733C9" w:rsidRPr="006733C9" w:rsidRDefault="006733C9" w:rsidP="006733C9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весовые параметры (масса отдельных видов спортинвентаря);</w:t>
      </w:r>
    </w:p>
    <w:p w:rsidR="006733C9" w:rsidRPr="006733C9" w:rsidRDefault="006733C9" w:rsidP="006733C9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параметры, характеризующие производительность машин и приборов (производительность вентиляторов и полотеров, скорость движения транспортных средств);</w:t>
      </w:r>
    </w:p>
    <w:p w:rsidR="006733C9" w:rsidRPr="006733C9" w:rsidRDefault="006733C9" w:rsidP="006733C9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энергетические параметры (мощность двигателя) и др. Продукция определенного назначения, принципа действия и конструкции, т.е. продукция определенного 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типа,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характеризуется рядом параметров. Набор установленных значений параметров называется 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параметрическим рядом.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Разновидностью параметрического ряда является 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размерный ряд.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Например, для тканей размерный ряд состоит из отдельных параметров ширины тканей, для посуды - отдельных параметров вместимости. Каждый размер изделия (или материала) одного типа называется 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типоразмером.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Например, в настоящее время установлено 105 типоразмеров мужской одежды и 120 типоразмеров женской одежды.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Процесс стандартизации параметрических рядов называется 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параметрической стандартизацией.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При создании, например, размерных рядов одежды и обуви производятся антропометрические измерения большого числа мужчин и женщин разных возрастов, проживающих в различных регионах. Полученные данные обрабатываются методами математической статистики.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Параметрические ряды машин, приборов, тары строятся согласно системе 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предпочтительных чисел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- набору последовательных чисел, изменяющихся в геометрической прогрессии. Смысл этой системы заключается в выборе лишь тех значений параметров, которые подчиняются строго определенной математической закономерности, а не любых значений.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Основными стандартами в параметрической стандартизации являются ГОСТ 8032 «Предпочтительные числа и ряды предпочтительных чисел» и ГОСТ 6636 «Нормальные линейные размеры».</w:t>
      </w:r>
    </w:p>
    <w:p w:rsidR="006733C9" w:rsidRPr="006733C9" w:rsidRDefault="006733C9" w:rsidP="006733C9">
      <w:pPr>
        <w:ind w:left="99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ГОСТ 8032 предусматривает четыре основных ряда предпочтительных чисел:</w:t>
      </w:r>
    </w:p>
    <w:p w:rsidR="006733C9" w:rsidRPr="006733C9" w:rsidRDefault="006733C9" w:rsidP="006733C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1-й ряд -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5 - 1,00; 1,60; 2,50; 4,00; 6,30; 10,00... имеет знаменатель прогрессии </w:t>
      </w:r>
      <w:r w:rsidRPr="006733C9">
        <w:rPr>
          <w:rFonts w:ascii="Times New Roman" w:hAnsi="Times New Roman" w:cs="Times New Roman"/>
          <w:color w:val="000000"/>
          <w:position w:val="-8"/>
          <w:sz w:val="28"/>
          <w:szCs w:val="28"/>
        </w:rPr>
        <w:object w:dxaOrig="4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8pt" o:ole="">
            <v:imagedata r:id="rId5" o:title=""/>
          </v:shape>
          <o:OLEObject Type="Embed" ProgID="Equation.3" ShapeID="_x0000_i1025" DrawAspect="Content" ObjectID="_1472469451" r:id="rId6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position w:val="-4"/>
          <w:sz w:val="28"/>
          <w:szCs w:val="28"/>
        </w:rPr>
        <w:object w:dxaOrig="200" w:dyaOrig="200">
          <v:shape id="_x0000_i1026" type="#_x0000_t75" style="width:9.75pt;height:9.75pt" o:ole="">
            <v:imagedata r:id="rId7" o:title=""/>
          </v:shape>
          <o:OLEObject Type="Embed" ProgID="Equation.3" ShapeID="_x0000_i1026" DrawAspect="Content" ObjectID="_1472469452" r:id="rId8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1,6;</w:t>
      </w:r>
    </w:p>
    <w:p w:rsidR="006733C9" w:rsidRPr="006733C9" w:rsidRDefault="006733C9" w:rsidP="006733C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2-йряд -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10 - 1,00; 1,25; 1,60; 2,00; 2,50... имеет знаменатель прогрессии  </w:t>
      </w:r>
      <w:r w:rsidRPr="006733C9">
        <w:rPr>
          <w:rFonts w:ascii="Times New Roman" w:hAnsi="Times New Roman" w:cs="Times New Roman"/>
          <w:color w:val="000000"/>
          <w:position w:val="-8"/>
          <w:sz w:val="28"/>
          <w:szCs w:val="28"/>
        </w:rPr>
        <w:object w:dxaOrig="480" w:dyaOrig="360">
          <v:shape id="_x0000_i1027" type="#_x0000_t75" style="width:24pt;height:18pt" o:ole="">
            <v:imagedata r:id="rId9" o:title=""/>
          </v:shape>
          <o:OLEObject Type="Embed" ProgID="Equation.3" ShapeID="_x0000_i1027" DrawAspect="Content" ObjectID="_1472469453" r:id="rId10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= 1,25;</w:t>
      </w:r>
    </w:p>
    <w:p w:rsidR="006733C9" w:rsidRPr="006733C9" w:rsidRDefault="006733C9" w:rsidP="006733C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3-йряд -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20- 1,00; 1,12; 1,25; 1,40; 1,60... имеет знаменатель прогрессии </w:t>
      </w:r>
      <w:r w:rsidRPr="006733C9">
        <w:rPr>
          <w:rFonts w:ascii="Times New Roman" w:hAnsi="Times New Roman" w:cs="Times New Roman"/>
          <w:color w:val="000000"/>
          <w:position w:val="-8"/>
          <w:sz w:val="28"/>
          <w:szCs w:val="28"/>
        </w:rPr>
        <w:object w:dxaOrig="499" w:dyaOrig="360">
          <v:shape id="_x0000_i1028" type="#_x0000_t75" style="width:24.75pt;height:18pt" o:ole="">
            <v:imagedata r:id="rId11" o:title=""/>
          </v:shape>
          <o:OLEObject Type="Embed" ProgID="Equation.3" ShapeID="_x0000_i1028" DrawAspect="Content" ObjectID="_1472469454" r:id="rId12"/>
        </w:object>
      </w:r>
      <w:r w:rsidRPr="006733C9">
        <w:rPr>
          <w:rFonts w:ascii="Times New Roman" w:hAnsi="Times New Roman" w:cs="Times New Roman"/>
          <w:color w:val="000000"/>
          <w:position w:val="-4"/>
          <w:sz w:val="28"/>
          <w:szCs w:val="28"/>
        </w:rPr>
        <w:object w:dxaOrig="200" w:dyaOrig="200">
          <v:shape id="_x0000_i1029" type="#_x0000_t75" style="width:9.75pt;height:9.75pt" o:ole="">
            <v:imagedata r:id="rId13" o:title=""/>
          </v:shape>
          <o:OLEObject Type="Embed" ProgID="Equation.3" ShapeID="_x0000_i1029" DrawAspect="Content" ObjectID="_1472469455" r:id="rId14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1,12;</w:t>
      </w:r>
    </w:p>
    <w:p w:rsidR="006733C9" w:rsidRPr="006733C9" w:rsidRDefault="006733C9" w:rsidP="006733C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4-йряд -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40- 1,00; 1,06; 1,12; 1,18; 1,25... имеет знаменатель прогрессии </w:t>
      </w:r>
      <w:r w:rsidRPr="006733C9">
        <w:rPr>
          <w:rFonts w:ascii="Times New Roman" w:hAnsi="Times New Roman" w:cs="Times New Roman"/>
          <w:color w:val="000000"/>
          <w:position w:val="-8"/>
          <w:sz w:val="28"/>
          <w:szCs w:val="28"/>
        </w:rPr>
        <w:object w:dxaOrig="700" w:dyaOrig="360">
          <v:shape id="_x0000_i1030" type="#_x0000_t75" style="width:35.25pt;height:18pt" o:ole="">
            <v:imagedata r:id="rId15" o:title=""/>
          </v:shape>
          <o:OLEObject Type="Embed" ProgID="Equation.3" ShapeID="_x0000_i1030" DrawAspect="Content" ObjectID="_1472469456" r:id="rId16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1,06.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Индекс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назван в честь французского инженера Ш.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Ренара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>. С его именем связывают историю создания рядов предпочтительных чисел.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Количество чисел в интервале 1-10: для ряда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5 - 5,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10 - 10;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20 - 20 и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40 - 40.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Частота параметрического ряда должна быть оптимальной: слишком «густой» ряд позволяет максимально удовлетворить нужды потребителей, но, с другой стороны, чрезмерно расширяется номенклатура продукции. Поэтому ряд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5 является более предпочтительным по сравнению с рядом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10, а ряд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10 предпочтительнее ряда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20.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Применение системы предпочтительных чисел позволяет не только унифицировать параметры продукции определенного типа, но и увязать по параметрам детали, изделия, транспортные средства и технологическое оборудование.</w:t>
      </w:r>
    </w:p>
    <w:p w:rsidR="006733C9" w:rsidRPr="006733C9" w:rsidRDefault="006733C9" w:rsidP="006733C9">
      <w:pPr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В радиотехнике уже давно применяются предпочтительные числа, построенные по рядам</w:t>
      </w: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Е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>, принятым Международной электротехнической комиссией (МЭК). Ряды</w:t>
      </w: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Е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состоят из округленных величин теоретических чисел со знаменателем для ряда ЕЗ - </w:t>
      </w:r>
      <w:r w:rsidRPr="006733C9">
        <w:rPr>
          <w:rFonts w:ascii="Times New Roman" w:hAnsi="Times New Roman" w:cs="Times New Roman"/>
          <w:color w:val="000000"/>
          <w:position w:val="-8"/>
          <w:sz w:val="28"/>
          <w:szCs w:val="28"/>
        </w:rPr>
        <w:object w:dxaOrig="660" w:dyaOrig="360">
          <v:shape id="_x0000_i1031" type="#_x0000_t75" style="width:33pt;height:18pt" o:ole="">
            <v:imagedata r:id="rId17" o:title=""/>
          </v:shape>
          <o:OLEObject Type="Embed" ProgID="Equation.3" ShapeID="_x0000_i1031" DrawAspect="Content" ObjectID="_1472469457" r:id="rId18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2,2, для ряда Е6 - </w:t>
      </w:r>
      <w:r w:rsidRPr="006733C9">
        <w:rPr>
          <w:rFonts w:ascii="Times New Roman" w:hAnsi="Times New Roman" w:cs="Times New Roman"/>
          <w:color w:val="000000"/>
          <w:position w:val="-8"/>
          <w:sz w:val="28"/>
          <w:szCs w:val="28"/>
        </w:rPr>
        <w:object w:dxaOrig="660" w:dyaOrig="360">
          <v:shape id="_x0000_i1032" type="#_x0000_t75" style="width:33pt;height:18pt" o:ole="">
            <v:imagedata r:id="rId19" o:title=""/>
          </v:shape>
          <o:OLEObject Type="Embed" ProgID="Equation.3" ShapeID="_x0000_i1032" DrawAspect="Content" ObjectID="_1472469458" r:id="rId20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1,5, для ряда Е12 - </w:t>
      </w:r>
      <w:r w:rsidRPr="006733C9">
        <w:rPr>
          <w:rFonts w:ascii="Times New Roman" w:hAnsi="Times New Roman" w:cs="Times New Roman"/>
          <w:color w:val="000000"/>
          <w:position w:val="-8"/>
          <w:sz w:val="28"/>
          <w:szCs w:val="28"/>
        </w:rPr>
        <w:object w:dxaOrig="680" w:dyaOrig="360">
          <v:shape id="_x0000_i1033" type="#_x0000_t75" style="width:33.75pt;height:18pt" o:ole="">
            <v:imagedata r:id="rId21" o:title=""/>
          </v:shape>
          <o:OLEObject Type="Embed" ProgID="Equation.3" ShapeID="_x0000_i1033" DrawAspect="Content" ObjectID="_1472469459" r:id="rId22"/>
        </w:objec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1,2. Например, ряды номинальных сопротивлений постоянных резисторов и ряды номинальной емкости постоянных конденсаторов (ГОСТ 2825 и ГОСТ 2519 соответственно) выбираются по ряду Е</w:t>
      </w: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6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>. Так, для конденсаторов ряд емкостей будет следующим: 1,5; 2,2; 3,3; 4,7; 6,8 (пФ, мкФ).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 Унификация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(от лат. </w:t>
      </w:r>
      <w:proofErr w:type="spellStart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unus</w:t>
      </w:r>
      <w:proofErr w:type="spellEnd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- один) - выбор оптимального числа разновидностей продукции, процессов или услуг, значений их параметров и размеров.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Унификация - это приведение чего-либо к единой системе, форме, единообразию. Например, в технике под унификацией понимают приведение различных видов продукции и средств ее производства к наименьшему числу типоразмеров, марок, свойств; рациональное сокращение типов деталей, агрегатов одинакового функционального назначения.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lastRenderedPageBreak/>
        <w:t>Цель унификации - устранение неоправданного многообразия продукции, процессов и сведение их к наименьшему числу, необходимому для удовлетворения основных потребителей.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Унификация базируется на систематизации, типизации, селекции,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симплификации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и оптимизации объектов стандартизации и может осуществляться в следующих направлениях:</w:t>
      </w:r>
    </w:p>
    <w:p w:rsidR="006733C9" w:rsidRPr="006733C9" w:rsidRDefault="006733C9" w:rsidP="006733C9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разработка параметрических и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типоразмерных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рядов изделий, машин, оборудования, приборов, узлов и деталей;</w:t>
      </w:r>
    </w:p>
    <w:p w:rsidR="006733C9" w:rsidRPr="006733C9" w:rsidRDefault="006733C9" w:rsidP="006733C9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разработка типовых изделий в целях создания унифицированных групп однородной продукции;</w:t>
      </w:r>
    </w:p>
    <w:p w:rsidR="006733C9" w:rsidRPr="006733C9" w:rsidRDefault="006733C9" w:rsidP="006733C9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разработка унифицированных технологических процессов, методов испытаний, форм документации и т.п.;</w:t>
      </w:r>
    </w:p>
    <w:p w:rsidR="006733C9" w:rsidRPr="006733C9" w:rsidRDefault="006733C9" w:rsidP="006733C9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ограничение целесообразным минимумом номенклатуры однородных объектов стандартизации.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Унификация может быть </w:t>
      </w:r>
      <w:proofErr w:type="spellStart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типоразмерной</w:t>
      </w:r>
      <w:proofErr w:type="spellEnd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(например, продукция одинакового функционального назначения, отличающаяся между собой числовыми значениями главного параметра), </w:t>
      </w:r>
      <w:proofErr w:type="spellStart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внутритиповой</w:t>
      </w:r>
      <w:proofErr w:type="spellEnd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(например, продукция с одинаковым главным параметром, но с разной конструкцией составных частей) и </w:t>
      </w:r>
      <w:proofErr w:type="spellStart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межтиповой</w:t>
      </w:r>
      <w:proofErr w:type="spellEnd"/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(например, продукция различных типов и конструкций). В зависимости от области проведения унификация объектов может быть </w:t>
      </w: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межотраслевой, отраслевой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заводской.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Наибольший экономический эффект унификация дает на стадии проектирования.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Результаты унификации оформляются в виде альбомов типовых (унифицированных) конструкций изделий, деталей, узлов, сборочных единиц и стандартов типов, параметров и размеров, конструкций, марок и др.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Примером использования унификации в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типоразмерном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ряду изделий может быть ГОСТ 26678 на параметрический ряд холодильников. В параметрическом ряду находятся 17 моделей холодильников и три модели морозильников определенных типоразмеров, т.е. с определенными значениями общего объема и объема низкотемпературного отделения. В стандарте указываются </w:t>
      </w:r>
      <w:r w:rsidRPr="006733C9">
        <w:rPr>
          <w:rFonts w:ascii="Times New Roman" w:hAnsi="Times New Roman" w:cs="Times New Roman"/>
          <w:iCs/>
          <w:color w:val="000000"/>
          <w:sz w:val="28"/>
          <w:szCs w:val="28"/>
        </w:rPr>
        <w:t>перечень составных</w:t>
      </w: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частей, подлежащих унификации в пределах параметрического ряда (например, холодильные агрегаты двухкамерных холодильников с объемом камеры 270 и 300 см</w:t>
      </w:r>
      <w:r w:rsidRPr="006733C9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объемом низкотемпературного отделения 80 см</w:t>
      </w:r>
      <w:r w:rsidRPr="006733C9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), и перечень составных частей, подлежащих унификации в пределах одного типоразмера (например, холодильный агрегат по присоединительным размерам, конденсатор).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proofErr w:type="spellStart"/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Агрегатирование</w:t>
      </w:r>
      <w:proofErr w:type="spellEnd"/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- это метод создания и эксплуатации изделий, машин, приборов и оборудования из отдельных стандартных унифицированных деталей и узлов.</w:t>
      </w:r>
    </w:p>
    <w:p w:rsidR="006733C9" w:rsidRPr="006733C9" w:rsidRDefault="006733C9" w:rsidP="006733C9">
      <w:pPr>
        <w:ind w:left="993"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Такие детали и узлы в различных сочетаниях позволяют создать широкую номенклатуру изделий различной конструкции и внешнего вида. Например, применение в мебельном производстве щитов 15 размеров и стандартных ящиков трех размеров позволяет получить при различной комбинации этих элементов 52 вида мебели.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За счет использования унифицированных, стандартных, взаимозаменяемых деталей и узлов повышается ремонтопригодность изделий и эффективность ремонта.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Агрегатирование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очень широко применяется в машиностроении, радиоэлектронике и приборостроении. Развитие указанных отраслей характеризуется усложнением и частой сменяемостью конструкций изделий. Для проектирования и изготовления, например, разнообразных машин потребовалось в первую очередь расчленить конструкцию машины на независимые сборочные единицы (агрегаты) так, чтобы каждая из них выполняла в машине определенную функцию. Это позволило специализировать изготовление агрегатов как самостоятельных изделий, работу которых можно проверить независимо от всей машины.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Расчленение изделий на конструктивно законченные агрегаты явилось первой предпосылкой развития метода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агрегатирования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>. В дальнейшем анализ конструкций машин показал, что многие агрегаты, узлы и детали, различные по устройству, выполняют в разнообразных машинах одинаковые функции. Обобщение частных конструктивных решений путем разработки унифицированных агрегатов, узлов и деталей значительно расширило возможности данного метода.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Основными принципами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агрегатирования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в настоящее время являются: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18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а) принцип </w:t>
      </w:r>
      <w:r w:rsidRPr="006733C9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базового агрегата</w:t>
      </w: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(увеличение номенклатуры выпускаемых изделий, машин, приборов, оборудования за счет модификации их основных типов и создания различных исполнений);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18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б)  принцип </w:t>
      </w:r>
      <w:r w:rsidRPr="006733C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секционирования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(унифицированные детали </w:t>
      </w:r>
      <w:r w:rsidRPr="006733C9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узлы могут многократно использоваться при создании различных изделий на основе геометрической и функциональной взаимозаменяемости);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180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в) </w:t>
      </w:r>
      <w:r w:rsidRPr="006733C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модульный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принцип (производство техники на базе крупных агрегатов - </w:t>
      </w:r>
      <w:r w:rsidRPr="006733C9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модулей</w:t>
      </w:r>
      <w:r w:rsidRPr="006733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).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В настоящее время широко распространен модульный принцип в радиоэлектронике и приборостроении; это основной метод создания гибких производственных систем и робототехнических комплексов.</w:t>
      </w:r>
    </w:p>
    <w:p w:rsidR="006733C9" w:rsidRPr="006733C9" w:rsidRDefault="006733C9" w:rsidP="006733C9">
      <w:pPr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5. Комплексная стандартизация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- один из основных методов стандартизации. При комплексной стандартизации осуществляется установление </w:t>
      </w:r>
      <w:r w:rsidRPr="006733C9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применение системы взаимоувязанных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требовани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й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как к самому объекту стандартизации в целом, так и к его основным элементам в целях оптимального решения конкретной проблемы.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Применительно к продукции это установление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kk-KZ"/>
        </w:rPr>
        <w:t>и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применение взаимосвязанных по своему уровню требований к качеству готовых изделий, сырья, материалов и комплектующих узлов, необходимых для их изготовления, а также условий сохранения (упаковки, маркировки, транспортирования, хранения) и потребления (эксплуатации).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Так, при осуществлении программы комплексной стандартизации молока коровьего предусматривается не только пересмотр действующего межгосударственного стандарта, но и разработка и пересмотр 37 стандартов. Будет установлен дифференцированный подход к показателям качества молока в зависимости от его назначения (производство молочных консервов, сыра, продуктов детского питания и т.п.). Разрабатываются объективные </w:t>
      </w:r>
      <w:proofErr w:type="spellStart"/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экспресс-методы</w:t>
      </w:r>
      <w:proofErr w:type="spellEnd"/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оценки качества молока и приборы для определения жирности и микробной обсемененности; унифицируются доильные установки и технологическое оборудование; разрабатываются стандарты на типовые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технологические процессы производства;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взаимоувязывают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стандарты с уже утвержденными комплексами </w:t>
      </w:r>
      <w:r w:rsidRPr="006733C9">
        <w:rPr>
          <w:rFonts w:ascii="Times New Roman" w:hAnsi="Times New Roman" w:cs="Times New Roman"/>
          <w:color w:val="000000"/>
          <w:sz w:val="28"/>
          <w:szCs w:val="28"/>
          <w:lang w:val="kk-KZ"/>
        </w:rPr>
        <w:t>и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т.д.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Комплексная стандартизация касается также систем документации, общетехнических норм, технологического обеспечения создания продукции, безопасности труда, охраны природы и др.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Однако работы по комплексной стандартизации в связи с сокращением финансирования в последнее десятилетие выполняются в ограниченном объеме.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>В настоящее время в Республике Казахстан продолжается деятельность по формированию комплексов государственных основополагающих стандартов:</w:t>
      </w:r>
    </w:p>
    <w:p w:rsidR="006733C9" w:rsidRPr="006733C9" w:rsidRDefault="006733C9" w:rsidP="006733C9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РК 1.0 «Государственная система стандартизации Республики Казахстан. Основные положения»;</w:t>
      </w:r>
    </w:p>
    <w:p w:rsidR="006733C9" w:rsidRPr="006733C9" w:rsidRDefault="006733C9" w:rsidP="006733C9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РК 2.0 «Государственная система обеспечения единства измерений. Основные положения»;</w:t>
      </w:r>
    </w:p>
    <w:p w:rsidR="006733C9" w:rsidRPr="006733C9" w:rsidRDefault="006733C9" w:rsidP="006733C9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РК 3.0 «Государственная система сертификации Республики Казахстан. Основные положения»;</w:t>
      </w:r>
    </w:p>
    <w:p w:rsidR="006733C9" w:rsidRPr="006733C9" w:rsidRDefault="006733C9" w:rsidP="006733C9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РК 4.0 «Система разработки и постановки продукции на производство. Основные положения»;</w:t>
      </w:r>
    </w:p>
    <w:p w:rsidR="006733C9" w:rsidRPr="006733C9" w:rsidRDefault="006733C9" w:rsidP="006733C9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РК 5.0 «Единая система классификации </w:t>
      </w:r>
      <w:r w:rsidRPr="006733C9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кодирования технико-экономической и социальной информации. Основные положения»;</w:t>
      </w:r>
    </w:p>
    <w:p w:rsidR="006733C9" w:rsidRPr="006733C9" w:rsidRDefault="006733C9" w:rsidP="006733C9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РК 6.0 «Система штрихового кодирования. Основные положения»;</w:t>
      </w:r>
    </w:p>
    <w:p w:rsidR="006733C9" w:rsidRPr="006733C9" w:rsidRDefault="006733C9" w:rsidP="006733C9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РК 7.0 «Система аккредитации Республики Казахстан. Основные положения».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6. Опережающая стандартизация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(разработка перспективные стандартов) - установление повышенных по отношению к уже достигнутому на практике уровню норм и требований к объектам стандартизации, которые, согласно прогнозам, будут оптимальными в последующее время.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Стандарты не могут только фиксировать достигнутый уровень развития науки и техники, так как из-за высоких темпов морального старения многих видов продукции они могут стать тормозом технического прогресса. Для того чтобы стандарты не тормозили технический прогресс, они должны устанавливать перспективные показатели качества с указанием сроков их обеспечения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промышленным производством. Опережающие стандарты должны стандартизировать перспективные виды продукции, серийное производство которых еще не начато или находится в начальной стадии.</w:t>
      </w:r>
    </w:p>
    <w:p w:rsidR="006733C9" w:rsidRPr="006733C9" w:rsidRDefault="006733C9" w:rsidP="006733C9">
      <w:pPr>
        <w:ind w:left="993" w:firstLine="708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  <w:lang w:val="kk-KZ"/>
        </w:rPr>
      </w:pPr>
      <w:r w:rsidRPr="006733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Комплекс стандартов </w:t>
      </w:r>
      <w:r w:rsidRPr="006733C9">
        <w:rPr>
          <w:rFonts w:ascii="Times New Roman" w:hAnsi="Times New Roman" w:cs="Times New Roman"/>
          <w:color w:val="000000"/>
          <w:sz w:val="28"/>
          <w:szCs w:val="28"/>
        </w:rPr>
        <w:t>- совокупность взаимосвязанных стандартов, объединенных общей целевой направленностью и устанавливающих согласованные требования к взаимосвязанным объектам стандартизации.</w:t>
      </w:r>
    </w:p>
    <w:p w:rsidR="006733C9" w:rsidRPr="006733C9" w:rsidRDefault="006733C9" w:rsidP="006733C9">
      <w:pPr>
        <w:shd w:val="clear" w:color="auto" w:fill="FFFFFF"/>
        <w:autoSpaceDE w:val="0"/>
        <w:autoSpaceDN w:val="0"/>
        <w:adjustRightInd w:val="0"/>
        <w:ind w:left="993"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Большим достижением международной стандартизации в конце 80-х годов было утверждение международного стандарта на </w:t>
      </w:r>
      <w:proofErr w:type="spellStart"/>
      <w:r w:rsidRPr="006733C9">
        <w:rPr>
          <w:rFonts w:ascii="Times New Roman" w:hAnsi="Times New Roman" w:cs="Times New Roman"/>
          <w:color w:val="000000"/>
          <w:sz w:val="28"/>
          <w:szCs w:val="28"/>
        </w:rPr>
        <w:t>аудиокомпактный</w:t>
      </w:r>
      <w:proofErr w:type="spellEnd"/>
      <w:r w:rsidRPr="006733C9">
        <w:rPr>
          <w:rFonts w:ascii="Times New Roman" w:hAnsi="Times New Roman" w:cs="Times New Roman"/>
          <w:color w:val="000000"/>
          <w:sz w:val="28"/>
          <w:szCs w:val="28"/>
        </w:rPr>
        <w:t xml:space="preserve"> диск до начала производства самого изделия. Это позволило обеспечить полную совместимость компакт-диска с другими техническими средствами и тем самым избежать непроизводительных затрат.</w:t>
      </w:r>
    </w:p>
    <w:p w:rsidR="007F5657" w:rsidRPr="006733C9" w:rsidRDefault="007F5657" w:rsidP="006733C9">
      <w:pPr>
        <w:ind w:left="99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F5657" w:rsidRPr="006733C9" w:rsidSect="00505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23113"/>
    <w:multiLevelType w:val="hybridMultilevel"/>
    <w:tmpl w:val="D6B0C30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E400CE7"/>
    <w:multiLevelType w:val="hybridMultilevel"/>
    <w:tmpl w:val="54000DC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3057470C"/>
    <w:multiLevelType w:val="hybridMultilevel"/>
    <w:tmpl w:val="934E854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3C6124E1"/>
    <w:multiLevelType w:val="hybridMultilevel"/>
    <w:tmpl w:val="E9B6836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694CA5"/>
    <w:rsid w:val="00241BB3"/>
    <w:rsid w:val="0038531E"/>
    <w:rsid w:val="00505C02"/>
    <w:rsid w:val="00596432"/>
    <w:rsid w:val="006733C9"/>
    <w:rsid w:val="00694CA5"/>
    <w:rsid w:val="00720DF1"/>
    <w:rsid w:val="007F5657"/>
    <w:rsid w:val="00AE0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94CA5"/>
    <w:pPr>
      <w:spacing w:after="0" w:line="240" w:lineRule="auto"/>
      <w:ind w:right="-5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694CA5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385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53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2274</Words>
  <Characters>12967</Characters>
  <Application>Microsoft Office Word</Application>
  <DocSecurity>0</DocSecurity>
  <Lines>108</Lines>
  <Paragraphs>30</Paragraphs>
  <ScaleCrop>false</ScaleCrop>
  <Company>Reanimator Extreme Edition</Company>
  <LinksUpToDate>false</LinksUpToDate>
  <CharactersWithSpaces>15211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6</cp:revision>
  <dcterms:created xsi:type="dcterms:W3CDTF">2013-09-14T05:59:00Z</dcterms:created>
  <dcterms:modified xsi:type="dcterms:W3CDTF">2014-09-17T08:31:00Z</dcterms:modified>
</cp:coreProperties>
</file>